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0A6" w:rsidRDefault="00E860A6">
      <w:pPr>
        <w:spacing w:line="1" w:lineRule="exact"/>
      </w:pPr>
      <w:bookmarkStart w:id="0" w:name="_GoBack"/>
      <w:bookmarkEnd w:id="0"/>
    </w:p>
    <w:p w:rsidR="00E860A6" w:rsidRDefault="00236F63">
      <w:pPr>
        <w:pStyle w:val="Heading10"/>
        <w:framePr w:w="11221" w:h="850" w:hRule="exact" w:wrap="none" w:vAnchor="page" w:hAnchor="page" w:x="504" w:y="482"/>
        <w:spacing w:after="0"/>
      </w:pPr>
      <w:bookmarkStart w:id="1" w:name="bookmark0"/>
      <w:bookmarkStart w:id="2" w:name="bookmark1"/>
      <w:bookmarkStart w:id="3" w:name="bookmark2"/>
      <w:r>
        <w:t>NOTICE OF PUBLIC HEARING</w:t>
      </w:r>
      <w:r>
        <w:br/>
        <w:t>ON TAX INCREASE</w:t>
      </w:r>
      <w:bookmarkEnd w:id="1"/>
      <w:bookmarkEnd w:id="2"/>
      <w:bookmarkEnd w:id="3"/>
    </w:p>
    <w:p w:rsidR="00E860A6" w:rsidRDefault="00236F63">
      <w:pPr>
        <w:pStyle w:val="BodyText"/>
        <w:framePr w:w="11221" w:h="13468" w:hRule="exact" w:wrap="none" w:vAnchor="page" w:hAnchor="page" w:x="504" w:y="1932"/>
      </w:pPr>
      <w:r>
        <w:t>A tax rate of $0.535000 per $100 valuation has been proposed by the governing body of Childress County.</w:t>
      </w:r>
    </w:p>
    <w:p w:rsidR="00E860A6" w:rsidRDefault="00236F63">
      <w:pPr>
        <w:pStyle w:val="BodyText"/>
        <w:framePr w:w="11221" w:h="13468" w:hRule="exact" w:wrap="none" w:vAnchor="page" w:hAnchor="page" w:x="504" w:y="1932"/>
        <w:tabs>
          <w:tab w:val="left" w:pos="6304"/>
        </w:tabs>
        <w:spacing w:after="0"/>
        <w:ind w:left="1920"/>
      </w:pPr>
      <w:r>
        <w:t>PROPOSED TAX RATE</w:t>
      </w:r>
      <w:r>
        <w:tab/>
        <w:t>$0.535000 per $100</w:t>
      </w:r>
    </w:p>
    <w:p w:rsidR="00E860A6" w:rsidRDefault="00236F63">
      <w:pPr>
        <w:pStyle w:val="BodyText"/>
        <w:framePr w:w="11221" w:h="13468" w:hRule="exact" w:wrap="none" w:vAnchor="page" w:hAnchor="page" w:x="504" w:y="1932"/>
        <w:spacing w:after="540"/>
        <w:ind w:left="1920" w:firstLine="40"/>
      </w:pPr>
      <w:r>
        <w:t xml:space="preserve">NO-NEW-REVENUE TAX RATE $0.021114 per $100 VOTER-APPROVAL TAX RATE </w:t>
      </w:r>
      <w:r>
        <w:t>$0.602082 per $ 100</w:t>
      </w:r>
    </w:p>
    <w:p w:rsidR="00E860A6" w:rsidRDefault="00236F63">
      <w:pPr>
        <w:pStyle w:val="BodyText"/>
        <w:framePr w:w="11221" w:h="13468" w:hRule="exact" w:wrap="none" w:vAnchor="page" w:hAnchor="page" w:x="504" w:y="1932"/>
      </w:pPr>
      <w:r>
        <w:t>The no-new-revenue tax rate is the tax rate for the 2025 tax year that will raise the same amount of property tax revenue for Childress County from the same properties in both the 2024 tax year and the 2025 tax year.</w:t>
      </w:r>
    </w:p>
    <w:p w:rsidR="00E860A6" w:rsidRDefault="00236F63">
      <w:pPr>
        <w:pStyle w:val="BodyText"/>
        <w:framePr w:w="11221" w:h="13468" w:hRule="exact" w:wrap="none" w:vAnchor="page" w:hAnchor="page" w:x="504" w:y="1932"/>
      </w:pPr>
      <w:r>
        <w:t xml:space="preserve">The voter-approval </w:t>
      </w:r>
      <w:r>
        <w:t>rate is the highest tax rate that Childress County may adopt without holding an election to seek voter approval of the rate.</w:t>
      </w:r>
    </w:p>
    <w:p w:rsidR="00E860A6" w:rsidRDefault="00236F63">
      <w:pPr>
        <w:pStyle w:val="BodyText"/>
        <w:framePr w:w="11221" w:h="13468" w:hRule="exact" w:wrap="none" w:vAnchor="page" w:hAnchor="page" w:x="504" w:y="1932"/>
      </w:pPr>
      <w:r>
        <w:t>The proposed tax rate is greater than the no-new-revenue tax rate. This means that Childress County is proposing to increase proper</w:t>
      </w:r>
      <w:r>
        <w:t>ty taxes for the 2025 tax year.</w:t>
      </w:r>
    </w:p>
    <w:p w:rsidR="00E860A6" w:rsidRDefault="00236F63">
      <w:pPr>
        <w:pStyle w:val="BodyText"/>
        <w:framePr w:w="11221" w:h="13468" w:hRule="exact" w:wrap="none" w:vAnchor="page" w:hAnchor="page" w:x="504" w:y="1932"/>
      </w:pPr>
      <w:r>
        <w:t xml:space="preserve">A PUBLIC HEARING ON THE PROPOSED TAX RATE WILL BE HELD ON September 11,2025 AT 5:00 PM AT Commissioners Courtroom, Childress County Court House, 100 Ave E NW, Childress, </w:t>
      </w:r>
      <w:proofErr w:type="spellStart"/>
      <w:r>
        <w:t>tx</w:t>
      </w:r>
      <w:proofErr w:type="spellEnd"/>
      <w:r>
        <w:t xml:space="preserve"> 79201.</w:t>
      </w:r>
    </w:p>
    <w:p w:rsidR="00E860A6" w:rsidRDefault="00236F63">
      <w:pPr>
        <w:pStyle w:val="BodyText"/>
        <w:framePr w:w="11221" w:h="13468" w:hRule="exact" w:wrap="none" w:vAnchor="page" w:hAnchor="page" w:x="504" w:y="1932"/>
      </w:pPr>
      <w:r>
        <w:t>The proposed tax rate is not greater than th</w:t>
      </w:r>
      <w:r>
        <w:t>e voter-approval tax rate. As a result, Childress County is not required to hold an election at which voters may accept or reject the proposed tax rate. However, you may express your support for or opposition to the proposed tax rate by contacting the memb</w:t>
      </w:r>
      <w:r>
        <w:t>ers of the Childress County Commissioners of Childress County at their offices or by attending the public hearing mentioned above.</w:t>
      </w:r>
    </w:p>
    <w:p w:rsidR="00E860A6" w:rsidRDefault="00236F63">
      <w:pPr>
        <w:pStyle w:val="BodyText"/>
        <w:framePr w:w="11221" w:h="13468" w:hRule="exact" w:wrap="none" w:vAnchor="page" w:hAnchor="page" w:x="504" w:y="1932"/>
        <w:jc w:val="center"/>
      </w:pPr>
      <w:r>
        <w:t>YOUR TAXES OWED UNDER ANY OF THE RATES MENTIONED ABOVE CAN BE</w:t>
      </w:r>
      <w:r>
        <w:br/>
        <w:t>CALCULATED AS FOLLOWS:</w:t>
      </w:r>
    </w:p>
    <w:p w:rsidR="00E860A6" w:rsidRDefault="00236F63">
      <w:pPr>
        <w:pStyle w:val="BodyText"/>
        <w:framePr w:w="11221" w:h="13468" w:hRule="exact" w:wrap="none" w:vAnchor="page" w:hAnchor="page" w:x="504" w:y="1932"/>
        <w:spacing w:after="540"/>
        <w:ind w:left="1920"/>
      </w:pPr>
      <w:r>
        <w:t>Property tax amount= (tax rate) x (taxab</w:t>
      </w:r>
      <w:r>
        <w:t>le value of your property)/100</w:t>
      </w:r>
    </w:p>
    <w:p w:rsidR="00E860A6" w:rsidRDefault="00236F63">
      <w:pPr>
        <w:pStyle w:val="BodyText"/>
        <w:framePr w:w="11221" w:h="13468" w:hRule="exact" w:wrap="none" w:vAnchor="page" w:hAnchor="page" w:x="504" w:y="1932"/>
        <w:tabs>
          <w:tab w:val="left" w:pos="2628"/>
          <w:tab w:val="left" w:pos="6304"/>
        </w:tabs>
        <w:spacing w:after="0"/>
      </w:pPr>
      <w:r>
        <w:rPr>
          <w:b/>
          <w:bCs/>
          <w:sz w:val="24"/>
          <w:szCs w:val="24"/>
        </w:rPr>
        <w:t>FOR the proposal:</w:t>
      </w:r>
      <w:r>
        <w:rPr>
          <w:b/>
          <w:bCs/>
          <w:sz w:val="24"/>
          <w:szCs w:val="24"/>
        </w:rPr>
        <w:tab/>
      </w:r>
      <w:r>
        <w:t>Commissioner Rick Elliott</w:t>
      </w:r>
      <w:r>
        <w:tab/>
        <w:t>Commissioner Kevin Hackler</w:t>
      </w:r>
    </w:p>
    <w:p w:rsidR="00E860A6" w:rsidRDefault="00236F63">
      <w:pPr>
        <w:pStyle w:val="BodyText"/>
        <w:framePr w:w="11221" w:h="13468" w:hRule="exact" w:wrap="none" w:vAnchor="page" w:hAnchor="page" w:x="504" w:y="1932"/>
        <w:tabs>
          <w:tab w:val="left" w:pos="3755"/>
        </w:tabs>
        <w:spacing w:after="0" w:line="216" w:lineRule="auto"/>
        <w:jc w:val="center"/>
      </w:pPr>
      <w:r>
        <w:t>Commissioner Jeremy Hill</w:t>
      </w:r>
      <w:r>
        <w:tab/>
        <w:t>Commissioner Mark Ross</w:t>
      </w:r>
    </w:p>
    <w:p w:rsidR="00E860A6" w:rsidRDefault="00236F63">
      <w:pPr>
        <w:pStyle w:val="BodyText"/>
        <w:framePr w:w="11221" w:h="13468" w:hRule="exact" w:wrap="none" w:vAnchor="page" w:hAnchor="page" w:x="504" w:y="1932"/>
        <w:spacing w:after="0" w:line="230" w:lineRule="auto"/>
      </w:pPr>
      <w:r>
        <w:rPr>
          <w:b/>
          <w:bCs/>
          <w:sz w:val="24"/>
          <w:szCs w:val="24"/>
        </w:rPr>
        <w:t xml:space="preserve">AGAINST the proposal: </w:t>
      </w:r>
      <w:r>
        <w:t>None</w:t>
      </w:r>
    </w:p>
    <w:p w:rsidR="00E860A6" w:rsidRDefault="00236F63">
      <w:pPr>
        <w:pStyle w:val="BodyText"/>
        <w:framePr w:w="11221" w:h="13468" w:hRule="exact" w:wrap="none" w:vAnchor="page" w:hAnchor="page" w:x="504" w:y="1932"/>
        <w:spacing w:after="0" w:line="230" w:lineRule="auto"/>
      </w:pPr>
      <w:r>
        <w:rPr>
          <w:b/>
          <w:bCs/>
          <w:sz w:val="24"/>
          <w:szCs w:val="24"/>
        </w:rPr>
        <w:t xml:space="preserve">PRESENT </w:t>
      </w:r>
      <w:r>
        <w:t xml:space="preserve">and not </w:t>
      </w:r>
      <w:proofErr w:type="spellStart"/>
      <w:r>
        <w:t>voting:None</w:t>
      </w:r>
      <w:proofErr w:type="spellEnd"/>
    </w:p>
    <w:p w:rsidR="00E860A6" w:rsidRDefault="00236F63">
      <w:pPr>
        <w:pStyle w:val="BodyText"/>
        <w:framePr w:w="11221" w:h="13468" w:hRule="exact" w:wrap="none" w:vAnchor="page" w:hAnchor="page" w:x="504" w:y="1932"/>
        <w:tabs>
          <w:tab w:val="left" w:pos="2628"/>
        </w:tabs>
        <w:spacing w:after="540" w:line="230" w:lineRule="auto"/>
      </w:pPr>
      <w:r>
        <w:rPr>
          <w:b/>
          <w:bCs/>
          <w:sz w:val="24"/>
          <w:szCs w:val="24"/>
        </w:rPr>
        <w:t>ABSENT:</w:t>
      </w:r>
      <w:r>
        <w:rPr>
          <w:b/>
          <w:bCs/>
          <w:sz w:val="24"/>
          <w:szCs w:val="24"/>
        </w:rPr>
        <w:tab/>
      </w:r>
      <w:r>
        <w:t>None</w:t>
      </w:r>
    </w:p>
    <w:p w:rsidR="00E860A6" w:rsidRDefault="00236F63">
      <w:pPr>
        <w:pStyle w:val="BodyText"/>
        <w:framePr w:w="11221" w:h="13468" w:hRule="exact" w:wrap="none" w:vAnchor="page" w:hAnchor="page" w:x="504" w:y="1932"/>
      </w:pPr>
      <w:r>
        <w:t>Visit Texas.gov/</w:t>
      </w:r>
      <w:proofErr w:type="spellStart"/>
      <w:r>
        <w:t>PropertyTaxes</w:t>
      </w:r>
      <w:proofErr w:type="spellEnd"/>
      <w:r>
        <w:t xml:space="preserve"> to find a link to your local property tax database on which you can easily access information regarding your property taxes, including information about proposed tax rates and scheduled public hearings of each entity that taxes your property.</w:t>
      </w:r>
    </w:p>
    <w:p w:rsidR="00E860A6" w:rsidRDefault="00236F63">
      <w:pPr>
        <w:pStyle w:val="BodyText"/>
        <w:framePr w:w="11221" w:h="13468" w:hRule="exact" w:wrap="none" w:vAnchor="page" w:hAnchor="page" w:x="504" w:y="1932"/>
        <w:spacing w:after="0"/>
      </w:pPr>
      <w:r>
        <w:t>The 86th Tex</w:t>
      </w:r>
      <w:r>
        <w:t>as Legislature modified the manner in which the voter-approval tax rate is calculated to limit the rate of growth of property taxes in the state.</w:t>
      </w:r>
    </w:p>
    <w:p w:rsidR="00E860A6" w:rsidRDefault="00E860A6">
      <w:pPr>
        <w:spacing w:line="1" w:lineRule="exact"/>
        <w:sectPr w:rsidR="00E860A6">
          <w:pgSz w:w="12240" w:h="15840"/>
          <w:pgMar w:top="360" w:right="360" w:bottom="360" w:left="360" w:header="0" w:footer="3" w:gutter="0"/>
          <w:cols w:space="720"/>
          <w:noEndnote/>
          <w:docGrid w:linePitch="360"/>
        </w:sectPr>
      </w:pPr>
    </w:p>
    <w:p w:rsidR="00E860A6" w:rsidRDefault="00E860A6">
      <w:pPr>
        <w:spacing w:line="1" w:lineRule="exact"/>
      </w:pPr>
    </w:p>
    <w:p w:rsidR="00E860A6" w:rsidRDefault="00236F63">
      <w:pPr>
        <w:pStyle w:val="BodyText"/>
        <w:framePr w:w="11196" w:h="943" w:hRule="exact" w:wrap="none" w:vAnchor="page" w:hAnchor="page" w:x="517" w:y="676"/>
        <w:spacing w:after="0"/>
      </w:pPr>
      <w:r>
        <w:t>The following table compares the taxes imposed on the average residence homestead by Childr</w:t>
      </w:r>
      <w:r>
        <w:t>ess County last year to the taxes proposed to be imposed on the average residence homestead by Childress County this year.</w:t>
      </w:r>
    </w:p>
    <w:tbl>
      <w:tblPr>
        <w:tblOverlap w:val="never"/>
        <w:tblW w:w="0" w:type="auto"/>
        <w:tblLayout w:type="fixed"/>
        <w:tblCellMar>
          <w:left w:w="10" w:type="dxa"/>
          <w:right w:w="10" w:type="dxa"/>
        </w:tblCellMar>
        <w:tblLook w:val="0000" w:firstRow="0" w:lastRow="0" w:firstColumn="0" w:lastColumn="0" w:noHBand="0" w:noVBand="0"/>
      </w:tblPr>
      <w:tblGrid>
        <w:gridCol w:w="2570"/>
        <w:gridCol w:w="2542"/>
        <w:gridCol w:w="2527"/>
        <w:gridCol w:w="2916"/>
      </w:tblGrid>
      <w:tr w:rsidR="00E860A6">
        <w:tblPrEx>
          <w:tblCellMar>
            <w:top w:w="0" w:type="dxa"/>
            <w:bottom w:w="0" w:type="dxa"/>
          </w:tblCellMar>
        </w:tblPrEx>
        <w:trPr>
          <w:trHeight w:hRule="exact" w:val="353"/>
        </w:trPr>
        <w:tc>
          <w:tcPr>
            <w:tcW w:w="2570" w:type="dxa"/>
            <w:shd w:val="clear" w:color="auto" w:fill="FFFFFF"/>
          </w:tcPr>
          <w:p w:rsidR="00E860A6" w:rsidRDefault="00E860A6">
            <w:pPr>
              <w:framePr w:w="10555" w:h="2916" w:wrap="none" w:vAnchor="page" w:hAnchor="page" w:x="538" w:y="1893"/>
              <w:rPr>
                <w:sz w:val="10"/>
                <w:szCs w:val="10"/>
              </w:rPr>
            </w:pPr>
          </w:p>
        </w:tc>
        <w:tc>
          <w:tcPr>
            <w:tcW w:w="2542" w:type="dxa"/>
            <w:shd w:val="clear" w:color="auto" w:fill="FFFFFF"/>
            <w:vAlign w:val="bottom"/>
          </w:tcPr>
          <w:p w:rsidR="00E860A6" w:rsidRDefault="00236F63">
            <w:pPr>
              <w:pStyle w:val="Other0"/>
              <w:framePr w:w="10555" w:h="2916" w:wrap="none" w:vAnchor="page" w:hAnchor="page" w:x="538" w:y="1893"/>
              <w:spacing w:after="0"/>
              <w:jc w:val="center"/>
            </w:pPr>
            <w:r>
              <w:t>2024</w:t>
            </w:r>
          </w:p>
        </w:tc>
        <w:tc>
          <w:tcPr>
            <w:tcW w:w="2527" w:type="dxa"/>
            <w:shd w:val="clear" w:color="auto" w:fill="FFFFFF"/>
            <w:vAlign w:val="bottom"/>
          </w:tcPr>
          <w:p w:rsidR="00E860A6" w:rsidRDefault="00236F63">
            <w:pPr>
              <w:pStyle w:val="Other0"/>
              <w:framePr w:w="10555" w:h="2916" w:wrap="none" w:vAnchor="page" w:hAnchor="page" w:x="538" w:y="1893"/>
              <w:spacing w:after="0"/>
              <w:jc w:val="center"/>
            </w:pPr>
            <w:r>
              <w:t>2025</w:t>
            </w:r>
          </w:p>
        </w:tc>
        <w:tc>
          <w:tcPr>
            <w:tcW w:w="2916" w:type="dxa"/>
            <w:shd w:val="clear" w:color="auto" w:fill="FFFFFF"/>
            <w:vAlign w:val="bottom"/>
          </w:tcPr>
          <w:p w:rsidR="00E860A6" w:rsidRDefault="00236F63">
            <w:pPr>
              <w:pStyle w:val="Other0"/>
              <w:framePr w:w="10555" w:h="2916" w:wrap="none" w:vAnchor="page" w:hAnchor="page" w:x="538" w:y="1893"/>
              <w:spacing w:after="0"/>
              <w:jc w:val="center"/>
            </w:pPr>
            <w:r>
              <w:t>Change</w:t>
            </w:r>
          </w:p>
        </w:tc>
      </w:tr>
      <w:tr w:rsidR="00E860A6">
        <w:tblPrEx>
          <w:tblCellMar>
            <w:top w:w="0" w:type="dxa"/>
            <w:bottom w:w="0" w:type="dxa"/>
          </w:tblCellMar>
        </w:tblPrEx>
        <w:trPr>
          <w:trHeight w:hRule="exact" w:val="641"/>
        </w:trPr>
        <w:tc>
          <w:tcPr>
            <w:tcW w:w="2570" w:type="dxa"/>
            <w:shd w:val="clear" w:color="auto" w:fill="FFFFFF"/>
            <w:vAlign w:val="bottom"/>
          </w:tcPr>
          <w:p w:rsidR="00E860A6" w:rsidRDefault="00236F63">
            <w:pPr>
              <w:pStyle w:val="Other0"/>
              <w:framePr w:w="10555" w:h="2916" w:wrap="none" w:vAnchor="page" w:hAnchor="page" w:x="538" w:y="1893"/>
              <w:spacing w:after="0"/>
            </w:pPr>
            <w:r>
              <w:t>Total tax rate (per $100 of value)</w:t>
            </w:r>
          </w:p>
        </w:tc>
        <w:tc>
          <w:tcPr>
            <w:tcW w:w="2542" w:type="dxa"/>
            <w:shd w:val="clear" w:color="auto" w:fill="FFFFFF"/>
          </w:tcPr>
          <w:p w:rsidR="00E860A6" w:rsidRDefault="00236F63">
            <w:pPr>
              <w:pStyle w:val="Other0"/>
              <w:framePr w:w="10555" w:h="2916" w:wrap="none" w:vAnchor="page" w:hAnchor="page" w:x="538" w:y="1893"/>
              <w:spacing w:after="0"/>
            </w:pPr>
            <w:r>
              <w:t>$0.535000</w:t>
            </w:r>
          </w:p>
        </w:tc>
        <w:tc>
          <w:tcPr>
            <w:tcW w:w="2527" w:type="dxa"/>
            <w:shd w:val="clear" w:color="auto" w:fill="FFFFFF"/>
          </w:tcPr>
          <w:p w:rsidR="00E860A6" w:rsidRDefault="00236F63">
            <w:pPr>
              <w:pStyle w:val="Other0"/>
              <w:framePr w:w="10555" w:h="2916" w:wrap="none" w:vAnchor="page" w:hAnchor="page" w:x="538" w:y="1893"/>
              <w:spacing w:after="0"/>
            </w:pPr>
            <w:r>
              <w:t>$0.535000</w:t>
            </w:r>
          </w:p>
        </w:tc>
        <w:tc>
          <w:tcPr>
            <w:tcW w:w="2916" w:type="dxa"/>
            <w:shd w:val="clear" w:color="auto" w:fill="FFFFFF"/>
            <w:vAlign w:val="bottom"/>
          </w:tcPr>
          <w:p w:rsidR="00E860A6" w:rsidRDefault="00236F63">
            <w:pPr>
              <w:pStyle w:val="Other0"/>
              <w:framePr w:w="10555" w:h="2916" w:wrap="none" w:vAnchor="page" w:hAnchor="page" w:x="538" w:y="1893"/>
              <w:spacing w:after="0"/>
            </w:pPr>
            <w:r>
              <w:t>increase of 0.000000 per</w:t>
            </w:r>
          </w:p>
          <w:p w:rsidR="00E860A6" w:rsidRDefault="00236F63">
            <w:pPr>
              <w:pStyle w:val="Other0"/>
              <w:framePr w:w="10555" w:h="2916" w:wrap="none" w:vAnchor="page" w:hAnchor="page" w:x="538" w:y="1893"/>
              <w:spacing w:after="0"/>
            </w:pPr>
            <w:r>
              <w:t>$100, or 0.00%</w:t>
            </w:r>
          </w:p>
        </w:tc>
      </w:tr>
      <w:tr w:rsidR="00E860A6">
        <w:tblPrEx>
          <w:tblCellMar>
            <w:top w:w="0" w:type="dxa"/>
            <w:bottom w:w="0" w:type="dxa"/>
          </w:tblCellMar>
        </w:tblPrEx>
        <w:trPr>
          <w:trHeight w:hRule="exact" w:val="626"/>
        </w:trPr>
        <w:tc>
          <w:tcPr>
            <w:tcW w:w="2570" w:type="dxa"/>
            <w:shd w:val="clear" w:color="auto" w:fill="FFFFFF"/>
          </w:tcPr>
          <w:p w:rsidR="00E860A6" w:rsidRDefault="00236F63">
            <w:pPr>
              <w:pStyle w:val="Other0"/>
              <w:framePr w:w="10555" w:h="2916" w:wrap="none" w:vAnchor="page" w:hAnchor="page" w:x="538" w:y="1893"/>
              <w:spacing w:after="0"/>
            </w:pPr>
            <w:r>
              <w:t xml:space="preserve">Average homestead </w:t>
            </w:r>
            <w:r>
              <w:t>taxable value</w:t>
            </w:r>
          </w:p>
        </w:tc>
        <w:tc>
          <w:tcPr>
            <w:tcW w:w="2542" w:type="dxa"/>
            <w:shd w:val="clear" w:color="auto" w:fill="FFFFFF"/>
          </w:tcPr>
          <w:p w:rsidR="00E860A6" w:rsidRDefault="00236F63">
            <w:pPr>
              <w:pStyle w:val="Other0"/>
              <w:framePr w:w="10555" w:h="2916" w:wrap="none" w:vAnchor="page" w:hAnchor="page" w:x="538" w:y="1893"/>
              <w:spacing w:after="0"/>
            </w:pPr>
            <w:r>
              <w:t>$105,464</w:t>
            </w:r>
          </w:p>
        </w:tc>
        <w:tc>
          <w:tcPr>
            <w:tcW w:w="2527" w:type="dxa"/>
            <w:shd w:val="clear" w:color="auto" w:fill="FFFFFF"/>
          </w:tcPr>
          <w:p w:rsidR="00E860A6" w:rsidRDefault="00236F63">
            <w:pPr>
              <w:pStyle w:val="Other0"/>
              <w:framePr w:w="10555" w:h="2916" w:wrap="none" w:vAnchor="page" w:hAnchor="page" w:x="538" w:y="1893"/>
              <w:spacing w:after="0"/>
            </w:pPr>
            <w:r>
              <w:t>$108,070</w:t>
            </w:r>
          </w:p>
        </w:tc>
        <w:tc>
          <w:tcPr>
            <w:tcW w:w="2916" w:type="dxa"/>
            <w:shd w:val="clear" w:color="auto" w:fill="FFFFFF"/>
          </w:tcPr>
          <w:p w:rsidR="00E860A6" w:rsidRDefault="00236F63">
            <w:pPr>
              <w:pStyle w:val="Other0"/>
              <w:framePr w:w="10555" w:h="2916" w:wrap="none" w:vAnchor="page" w:hAnchor="page" w:x="538" w:y="1893"/>
              <w:spacing w:after="0"/>
            </w:pPr>
            <w:r>
              <w:t>increase of 2.47%</w:t>
            </w:r>
          </w:p>
        </w:tc>
      </w:tr>
      <w:tr w:rsidR="00E860A6">
        <w:tblPrEx>
          <w:tblCellMar>
            <w:top w:w="0" w:type="dxa"/>
            <w:bottom w:w="0" w:type="dxa"/>
          </w:tblCellMar>
        </w:tblPrEx>
        <w:trPr>
          <w:trHeight w:hRule="exact" w:val="626"/>
        </w:trPr>
        <w:tc>
          <w:tcPr>
            <w:tcW w:w="2570" w:type="dxa"/>
            <w:shd w:val="clear" w:color="auto" w:fill="FFFFFF"/>
          </w:tcPr>
          <w:p w:rsidR="00E860A6" w:rsidRDefault="00236F63">
            <w:pPr>
              <w:pStyle w:val="Other0"/>
              <w:framePr w:w="10555" w:h="2916" w:wrap="none" w:vAnchor="page" w:hAnchor="page" w:x="538" w:y="1893"/>
              <w:spacing w:after="0"/>
            </w:pPr>
            <w:r>
              <w:t>Tax on average homestead</w:t>
            </w:r>
          </w:p>
        </w:tc>
        <w:tc>
          <w:tcPr>
            <w:tcW w:w="2542" w:type="dxa"/>
            <w:shd w:val="clear" w:color="auto" w:fill="FFFFFF"/>
          </w:tcPr>
          <w:p w:rsidR="00E860A6" w:rsidRDefault="00236F63">
            <w:pPr>
              <w:pStyle w:val="Other0"/>
              <w:framePr w:w="10555" w:h="2916" w:wrap="none" w:vAnchor="page" w:hAnchor="page" w:x="538" w:y="1893"/>
              <w:spacing w:after="0"/>
            </w:pPr>
            <w:r>
              <w:t>$564.23</w:t>
            </w:r>
          </w:p>
        </w:tc>
        <w:tc>
          <w:tcPr>
            <w:tcW w:w="2527" w:type="dxa"/>
            <w:shd w:val="clear" w:color="auto" w:fill="FFFFFF"/>
          </w:tcPr>
          <w:p w:rsidR="00E860A6" w:rsidRDefault="00236F63">
            <w:pPr>
              <w:pStyle w:val="Other0"/>
              <w:framePr w:w="10555" w:h="2916" w:wrap="none" w:vAnchor="page" w:hAnchor="page" w:x="538" w:y="1893"/>
              <w:spacing w:after="0"/>
            </w:pPr>
            <w:r>
              <w:t>$578.17</w:t>
            </w:r>
          </w:p>
        </w:tc>
        <w:tc>
          <w:tcPr>
            <w:tcW w:w="2916" w:type="dxa"/>
            <w:shd w:val="clear" w:color="auto" w:fill="FFFFFF"/>
          </w:tcPr>
          <w:p w:rsidR="00E860A6" w:rsidRDefault="00236F63">
            <w:pPr>
              <w:pStyle w:val="Other0"/>
              <w:framePr w:w="10555" w:h="2916" w:wrap="none" w:vAnchor="page" w:hAnchor="page" w:x="538" w:y="1893"/>
              <w:spacing w:after="0"/>
            </w:pPr>
            <w:r>
              <w:t>increase of 13.94, or 2.47%</w:t>
            </w:r>
          </w:p>
        </w:tc>
      </w:tr>
      <w:tr w:rsidR="00E860A6">
        <w:tblPrEx>
          <w:tblCellMar>
            <w:top w:w="0" w:type="dxa"/>
            <w:bottom w:w="0" w:type="dxa"/>
          </w:tblCellMar>
        </w:tblPrEx>
        <w:trPr>
          <w:trHeight w:hRule="exact" w:val="670"/>
        </w:trPr>
        <w:tc>
          <w:tcPr>
            <w:tcW w:w="2570" w:type="dxa"/>
            <w:shd w:val="clear" w:color="auto" w:fill="FFFFFF"/>
          </w:tcPr>
          <w:p w:rsidR="00E860A6" w:rsidRDefault="00236F63">
            <w:pPr>
              <w:pStyle w:val="Other0"/>
              <w:framePr w:w="10555" w:h="2916" w:wrap="none" w:vAnchor="page" w:hAnchor="page" w:x="538" w:y="1893"/>
              <w:spacing w:after="0"/>
            </w:pPr>
            <w:r>
              <w:t>Total tax levy on all properties</w:t>
            </w:r>
          </w:p>
        </w:tc>
        <w:tc>
          <w:tcPr>
            <w:tcW w:w="2542" w:type="dxa"/>
            <w:shd w:val="clear" w:color="auto" w:fill="FFFFFF"/>
          </w:tcPr>
          <w:p w:rsidR="00E860A6" w:rsidRDefault="00236F63">
            <w:pPr>
              <w:pStyle w:val="Other0"/>
              <w:framePr w:w="10555" w:h="2916" w:wrap="none" w:vAnchor="page" w:hAnchor="page" w:x="538" w:y="1893"/>
              <w:spacing w:after="0"/>
            </w:pPr>
            <w:r>
              <w:t>$3,384,163</w:t>
            </w:r>
          </w:p>
        </w:tc>
        <w:tc>
          <w:tcPr>
            <w:tcW w:w="2527" w:type="dxa"/>
            <w:shd w:val="clear" w:color="auto" w:fill="FFFFFF"/>
          </w:tcPr>
          <w:p w:rsidR="00E860A6" w:rsidRDefault="00236F63">
            <w:pPr>
              <w:pStyle w:val="Other0"/>
              <w:framePr w:w="10555" w:h="2916" w:wrap="none" w:vAnchor="page" w:hAnchor="page" w:x="538" w:y="1893"/>
              <w:spacing w:after="0"/>
            </w:pPr>
            <w:r>
              <w:t>$3,680,226</w:t>
            </w:r>
          </w:p>
        </w:tc>
        <w:tc>
          <w:tcPr>
            <w:tcW w:w="2916" w:type="dxa"/>
            <w:shd w:val="clear" w:color="auto" w:fill="FFFFFF"/>
          </w:tcPr>
          <w:p w:rsidR="00E860A6" w:rsidRDefault="00236F63">
            <w:pPr>
              <w:pStyle w:val="Other0"/>
              <w:framePr w:w="10555" w:h="2916" w:wrap="none" w:vAnchor="page" w:hAnchor="page" w:x="538" w:y="1893"/>
              <w:spacing w:after="0"/>
            </w:pPr>
            <w:r>
              <w:t>increase of 296,063, or 8.75%</w:t>
            </w:r>
          </w:p>
        </w:tc>
      </w:tr>
    </w:tbl>
    <w:p w:rsidR="00E860A6" w:rsidRDefault="00236F63">
      <w:pPr>
        <w:pStyle w:val="BodyText"/>
        <w:framePr w:w="11196" w:h="6926" w:hRule="exact" w:wrap="none" w:vAnchor="page" w:hAnchor="page" w:x="517" w:y="5370"/>
      </w:pPr>
      <w:r>
        <w:rPr>
          <w:u w:val="single"/>
        </w:rPr>
        <w:t>No-New-Revenue Mai</w:t>
      </w:r>
      <w:r>
        <w:t>nt</w:t>
      </w:r>
      <w:r>
        <w:rPr>
          <w:u w:val="single"/>
        </w:rPr>
        <w:t>enance and Operat</w:t>
      </w:r>
      <w:r>
        <w:t>io</w:t>
      </w:r>
      <w:r>
        <w:rPr>
          <w:u w:val="single"/>
        </w:rPr>
        <w:t>ns Rate</w:t>
      </w:r>
      <w:r>
        <w:t xml:space="preserve">. </w:t>
      </w:r>
      <w:r>
        <w:rPr>
          <w:u w:val="single"/>
        </w:rPr>
        <w:t>Ad</w:t>
      </w:r>
      <w:r>
        <w:t>j</w:t>
      </w:r>
      <w:r>
        <w:rPr>
          <w:u w:val="single"/>
        </w:rPr>
        <w:t>ustments</w:t>
      </w:r>
    </w:p>
    <w:p w:rsidR="00E860A6" w:rsidRDefault="00236F63">
      <w:pPr>
        <w:pStyle w:val="BodyText"/>
        <w:framePr w:w="11196" w:h="6926" w:hRule="exact" w:wrap="none" w:vAnchor="page" w:hAnchor="page" w:x="517" w:y="5370"/>
        <w:spacing w:after="0"/>
      </w:pPr>
      <w:r>
        <w:t>State Criminal Justice Mandate</w:t>
      </w:r>
    </w:p>
    <w:p w:rsidR="00E860A6" w:rsidRDefault="00236F63">
      <w:pPr>
        <w:pStyle w:val="BodyText"/>
        <w:framePr w:w="11196" w:h="6926" w:hRule="exact" w:wrap="none" w:vAnchor="page" w:hAnchor="page" w:x="517" w:y="5370"/>
      </w:pPr>
      <w:r>
        <w:t xml:space="preserve">The Childress County Auditor certifies that Childress County has spent $347,789 in the previous 12 months for the maintenance and operations cost of keeping inmates sentenced to the Texas Department of Criminal </w:t>
      </w:r>
      <w:r>
        <w:t>Justice. Childress County Sheriff has provided Childress County information on these costs, minus the state revenues received for reimbursement of such costs. This increased the no-new-revenue maintenance and operations rate by $0.015677/$ 100.</w:t>
      </w:r>
    </w:p>
    <w:p w:rsidR="00E860A6" w:rsidRDefault="00236F63">
      <w:pPr>
        <w:pStyle w:val="BodyText"/>
        <w:framePr w:w="11196" w:h="6926" w:hRule="exact" w:wrap="none" w:vAnchor="page" w:hAnchor="page" w:x="517" w:y="5370"/>
        <w:spacing w:after="0"/>
      </w:pPr>
      <w:r>
        <w:t>Indigent He</w:t>
      </w:r>
      <w:r>
        <w:t>alth Care Compensation Expenditures</w:t>
      </w:r>
    </w:p>
    <w:p w:rsidR="00E860A6" w:rsidRDefault="00236F63">
      <w:pPr>
        <w:pStyle w:val="BodyText"/>
        <w:framePr w:w="11196" w:h="6926" w:hRule="exact" w:wrap="none" w:vAnchor="page" w:hAnchor="page" w:x="517" w:y="5370"/>
      </w:pPr>
      <w:r>
        <w:t>The Childress County spent $174,251 from July 1, 2024 to June 30, 2025 on indigent health care compensation expenditures at the increased minimum eligibility standards, less the amount of state assistance. For the curren</w:t>
      </w:r>
      <w:r>
        <w:t>t tax year, the amount of increase above last year's enhanced indigent health care expenditures is $43,985. This increased the no-new-revenue maintenance and operations rate by $0.007472/8100.</w:t>
      </w:r>
    </w:p>
    <w:p w:rsidR="00E860A6" w:rsidRDefault="00236F63">
      <w:pPr>
        <w:pStyle w:val="BodyText"/>
        <w:framePr w:w="11196" w:h="6926" w:hRule="exact" w:wrap="none" w:vAnchor="page" w:hAnchor="page" w:x="517" w:y="5370"/>
        <w:spacing w:after="0"/>
      </w:pPr>
      <w:r>
        <w:t>Indigent Defense Compensation Expenditures</w:t>
      </w:r>
    </w:p>
    <w:p w:rsidR="00E860A6" w:rsidRDefault="00236F63">
      <w:pPr>
        <w:pStyle w:val="BodyText"/>
        <w:framePr w:w="11196" w:h="6926" w:hRule="exact" w:wrap="none" w:vAnchor="page" w:hAnchor="page" w:x="517" w:y="5370"/>
        <w:spacing w:after="0"/>
      </w:pPr>
      <w:r>
        <w:t>The Childress County</w:t>
      </w:r>
      <w:r>
        <w:t xml:space="preserve"> spent $131,874 from July 1, 2024 to June 30, 2025 to provide appointed counsel for indigent individuals in criminal or civil proceedings in accordance with the schedule of fees adopted under Article 26.05, Code of Criminal Procedure and to fund the operat</w:t>
      </w:r>
      <w:r>
        <w:t>ions of a public defender's office under Article 26.044, Code of Criminal Procedure, less the amount of any state grants received. For the current tax year, the amount of increase above last year's indigent defense compensation expenditures is $34,549. Thi</w:t>
      </w:r>
      <w:r>
        <w:t>s increased the no-new-revenue maintenance and operations rate by $0.000826/$ 100.</w:t>
      </w:r>
    </w:p>
    <w:p w:rsidR="00E860A6" w:rsidRDefault="00236F63">
      <w:pPr>
        <w:pStyle w:val="BodyText"/>
        <w:framePr w:w="11196" w:h="641" w:hRule="exact" w:wrap="none" w:vAnchor="page" w:hAnchor="page" w:x="517" w:y="12722"/>
        <w:pBdr>
          <w:top w:val="single" w:sz="4" w:space="0" w:color="auto"/>
        </w:pBdr>
        <w:spacing w:after="0"/>
      </w:pPr>
      <w:r>
        <w:t xml:space="preserve">For assistance with tax calculations, please contact the tax assessor for Childress County at 940-937-2221 or </w:t>
      </w:r>
      <w:hyperlink r:id="rId6" w:history="1">
        <w:r>
          <w:t>kimberly.jones@</w:t>
        </w:r>
        <w:r>
          <w:t>childresstx.us</w:t>
        </w:r>
      </w:hyperlink>
      <w:r>
        <w:t>, or visit w</w:t>
      </w:r>
      <w:hyperlink r:id="rId7" w:history="1">
        <w:r>
          <w:t>ww.childresscad@childresstx.us</w:t>
        </w:r>
      </w:hyperlink>
      <w:r>
        <w:t xml:space="preserve"> for more information.</w:t>
      </w:r>
    </w:p>
    <w:p w:rsidR="00E860A6" w:rsidRDefault="00E860A6">
      <w:pPr>
        <w:spacing w:line="1" w:lineRule="exact"/>
      </w:pPr>
    </w:p>
    <w:sectPr w:rsidR="00E860A6">
      <w:pgSz w:w="12240" w:h="15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F63" w:rsidRDefault="00236F63">
      <w:r>
        <w:separator/>
      </w:r>
    </w:p>
  </w:endnote>
  <w:endnote w:type="continuationSeparator" w:id="0">
    <w:p w:rsidR="00236F63" w:rsidRDefault="0023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F63" w:rsidRDefault="00236F63"/>
  </w:footnote>
  <w:footnote w:type="continuationSeparator" w:id="0">
    <w:p w:rsidR="00236F63" w:rsidRDefault="00236F6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A6"/>
    <w:rsid w:val="00236F63"/>
    <w:rsid w:val="00E30DF5"/>
    <w:rsid w:val="00E8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5075F-6619-458A-92E2-0E8341AD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36"/>
      <w:szCs w:val="36"/>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ing10">
    <w:name w:val="Heading #1"/>
    <w:basedOn w:val="Normal"/>
    <w:link w:val="Heading1"/>
    <w:pPr>
      <w:spacing w:after="620"/>
      <w:jc w:val="center"/>
      <w:outlineLvl w:val="0"/>
    </w:pPr>
    <w:rPr>
      <w:rFonts w:ascii="Times New Roman" w:eastAsia="Times New Roman" w:hAnsi="Times New Roman" w:cs="Times New Roman"/>
      <w:b/>
      <w:bCs/>
      <w:sz w:val="36"/>
      <w:szCs w:val="36"/>
    </w:rPr>
  </w:style>
  <w:style w:type="paragraph" w:styleId="BodyText">
    <w:name w:val="Body Text"/>
    <w:basedOn w:val="Normal"/>
    <w:link w:val="BodyTextChar"/>
    <w:qFormat/>
    <w:pPr>
      <w:spacing w:after="280"/>
    </w:pPr>
    <w:rPr>
      <w:rFonts w:ascii="Times New Roman" w:eastAsia="Times New Roman" w:hAnsi="Times New Roman" w:cs="Times New Roman"/>
      <w:sz w:val="26"/>
      <w:szCs w:val="26"/>
    </w:rPr>
  </w:style>
  <w:style w:type="paragraph" w:customStyle="1" w:styleId="Other0">
    <w:name w:val="Other"/>
    <w:basedOn w:val="Normal"/>
    <w:link w:val="Other"/>
    <w:pPr>
      <w:spacing w:after="28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w.childresscad@childresstx.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mberly.jones@childresstx.u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Workstation3</dc:creator>
  <cp:lastModifiedBy>Workstation3</cp:lastModifiedBy>
  <cp:revision>2</cp:revision>
  <dcterms:created xsi:type="dcterms:W3CDTF">2025-09-02T13:22:00Z</dcterms:created>
  <dcterms:modified xsi:type="dcterms:W3CDTF">2025-09-02T13:22:00Z</dcterms:modified>
</cp:coreProperties>
</file>