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E5F" w:rsidRDefault="00525E5F">
      <w:pPr>
        <w:spacing w:line="1" w:lineRule="exact"/>
      </w:pPr>
      <w:bookmarkStart w:id="0" w:name="_GoBack"/>
      <w:bookmarkEnd w:id="0"/>
    </w:p>
    <w:p w:rsidR="00525E5F" w:rsidRDefault="008842CD">
      <w:pPr>
        <w:pStyle w:val="Heading10"/>
        <w:framePr w:w="11236" w:h="846" w:hRule="exact" w:wrap="none" w:vAnchor="page" w:hAnchor="page" w:x="542" w:y="410"/>
        <w:spacing w:after="0"/>
      </w:pPr>
      <w:bookmarkStart w:id="1" w:name="bookmark0"/>
      <w:bookmarkStart w:id="2" w:name="bookmark1"/>
      <w:bookmarkStart w:id="3" w:name="bookmark2"/>
      <w:r>
        <w:t>NOTICE OF PUBLIC HEARING</w:t>
      </w:r>
      <w:r>
        <w:br/>
        <w:t>ON TAX INCREASE</w:t>
      </w:r>
      <w:bookmarkEnd w:id="1"/>
      <w:bookmarkEnd w:id="2"/>
      <w:bookmarkEnd w:id="3"/>
    </w:p>
    <w:p w:rsidR="00525E5F" w:rsidRDefault="008842CD">
      <w:pPr>
        <w:pStyle w:val="BodyText"/>
        <w:framePr w:w="11236" w:h="630" w:hRule="exact" w:wrap="none" w:vAnchor="page" w:hAnchor="page" w:x="542" w:y="1857"/>
        <w:spacing w:after="0"/>
      </w:pPr>
      <w:r>
        <w:t>A tax rate of $0.220000 per $100 valuation has been proposed by the governing body of Childress Hospital District.</w:t>
      </w:r>
    </w:p>
    <w:p w:rsidR="00525E5F" w:rsidRDefault="008842CD">
      <w:pPr>
        <w:pStyle w:val="BodyText"/>
        <w:framePr w:w="11236" w:h="911" w:hRule="exact" w:wrap="none" w:vAnchor="page" w:hAnchor="page" w:x="542" w:y="2765"/>
        <w:spacing w:after="0"/>
        <w:ind w:left="1965" w:firstLine="40"/>
      </w:pPr>
      <w:r>
        <w:t>PROPOSED TAX RATE</w:t>
      </w:r>
      <w:r>
        <w:br/>
        <w:t>NO-NEW-REVENUE TAX RATE</w:t>
      </w:r>
      <w:r>
        <w:br/>
        <w:t>VOTER-APPROVAL TAX RATE</w:t>
      </w:r>
    </w:p>
    <w:p w:rsidR="00525E5F" w:rsidRDefault="008842CD">
      <w:pPr>
        <w:pStyle w:val="BodyText"/>
        <w:framePr w:w="2149" w:h="922" w:hRule="exact" w:wrap="none" w:vAnchor="page" w:hAnchor="page" w:x="6820" w:y="2761"/>
        <w:spacing w:after="0"/>
      </w:pPr>
      <w:r>
        <w:t>$0.220000 per $100</w:t>
      </w:r>
    </w:p>
    <w:p w:rsidR="00525E5F" w:rsidRDefault="008842CD">
      <w:pPr>
        <w:pStyle w:val="BodyText"/>
        <w:framePr w:w="2149" w:h="922" w:hRule="exact" w:wrap="none" w:vAnchor="page" w:hAnchor="page" w:x="6820" w:y="2761"/>
        <w:spacing w:after="0"/>
      </w:pPr>
      <w:r>
        <w:t>$0.102823 per</w:t>
      </w:r>
      <w:r>
        <w:t xml:space="preserve"> $100</w:t>
      </w:r>
    </w:p>
    <w:p w:rsidR="00525E5F" w:rsidRDefault="008842CD">
      <w:pPr>
        <w:pStyle w:val="BodyText"/>
        <w:framePr w:w="2149" w:h="922" w:hRule="exact" w:wrap="none" w:vAnchor="page" w:hAnchor="page" w:x="6820" w:y="2761"/>
        <w:spacing w:after="0"/>
      </w:pPr>
      <w:r>
        <w:t>$0.328764 per $100</w:t>
      </w:r>
    </w:p>
    <w:p w:rsidR="00525E5F" w:rsidRDefault="008842CD">
      <w:pPr>
        <w:pStyle w:val="BodyText"/>
        <w:framePr w:w="11236" w:h="6905" w:hRule="exact" w:wrap="none" w:vAnchor="page" w:hAnchor="page" w:x="542" w:y="4212"/>
      </w:pPr>
      <w:r>
        <w:t>The no-new-revenue tax rate is the tax rate for the 2025 tax year that will raise the same amount of property tax revenue for Childress Hospital District from the same properties in both the 2024 tax year and the 2025 tax year.</w:t>
      </w:r>
    </w:p>
    <w:p w:rsidR="00525E5F" w:rsidRDefault="008842CD">
      <w:pPr>
        <w:pStyle w:val="BodyText"/>
        <w:framePr w:w="11236" w:h="6905" w:hRule="exact" w:wrap="none" w:vAnchor="page" w:hAnchor="page" w:x="542" w:y="4212"/>
      </w:pPr>
      <w:r>
        <w:t>The</w:t>
      </w:r>
      <w:r>
        <w:t xml:space="preserve"> voter-approval rate is the highest tax rate that Childress Hospital District may adopt without holding an election to seek voter approval of the rate.</w:t>
      </w:r>
    </w:p>
    <w:p w:rsidR="00525E5F" w:rsidRDefault="008842CD">
      <w:pPr>
        <w:pStyle w:val="BodyText"/>
        <w:framePr w:w="11236" w:h="6905" w:hRule="exact" w:wrap="none" w:vAnchor="page" w:hAnchor="page" w:x="542" w:y="4212"/>
      </w:pPr>
      <w:r>
        <w:t>The proposed tax rate is greater than the no-new-revenue tax rate. This means that Childress Hospital Di</w:t>
      </w:r>
      <w:r>
        <w:t>strict is proposing to increase property taxes for the 2025 tax year.</w:t>
      </w:r>
    </w:p>
    <w:p w:rsidR="00525E5F" w:rsidRDefault="008842CD">
      <w:pPr>
        <w:pStyle w:val="BodyText"/>
        <w:framePr w:w="11236" w:h="6905" w:hRule="exact" w:wrap="none" w:vAnchor="page" w:hAnchor="page" w:x="542" w:y="4212"/>
      </w:pPr>
      <w:r>
        <w:t>A PUBLIC HEARING ON THE PROPOSED TAX RATE WILL BE HELD ON September 23,2025 AT 11:30 AM AT CRMC BOARDROOM, 901 US HIGHWAY 83 N, CHILDRESS, TX 79201.</w:t>
      </w:r>
    </w:p>
    <w:p w:rsidR="00525E5F" w:rsidRDefault="008842CD">
      <w:pPr>
        <w:pStyle w:val="BodyText"/>
        <w:framePr w:w="11236" w:h="6905" w:hRule="exact" w:wrap="none" w:vAnchor="page" w:hAnchor="page" w:x="542" w:y="4212"/>
      </w:pPr>
      <w:r>
        <w:t xml:space="preserve">The proposed tax rate is not greater </w:t>
      </w:r>
      <w:r>
        <w:t>than the voter-approval tax rate. As a result, Childress Hospital District is not required to hold an election at which voters may accept or reject the proposed tax rate. However, you may express your support for or opposition to the proposed tax rate by c</w:t>
      </w:r>
      <w:r>
        <w:t>ontacting the members of the BOARD OF DIRECTORS of Childress Hospital District at their offices or by attending the public hearing mentioned above.</w:t>
      </w:r>
    </w:p>
    <w:p w:rsidR="00525E5F" w:rsidRDefault="008842CD">
      <w:pPr>
        <w:pStyle w:val="BodyText"/>
        <w:framePr w:w="11236" w:h="6905" w:hRule="exact" w:wrap="none" w:vAnchor="page" w:hAnchor="page" w:x="542" w:y="4212"/>
        <w:jc w:val="center"/>
      </w:pPr>
      <w:r>
        <w:t>YOUR TAXES OWED UNDER ANY OF THE RATES MENTIONED ABOVE CAN BE</w:t>
      </w:r>
      <w:r>
        <w:br/>
        <w:t>CALCULATED AS FOLLOWS:</w:t>
      </w:r>
    </w:p>
    <w:p w:rsidR="00525E5F" w:rsidRDefault="008842CD">
      <w:pPr>
        <w:pStyle w:val="BodyText"/>
        <w:framePr w:w="11236" w:h="6905" w:hRule="exact" w:wrap="none" w:vAnchor="page" w:hAnchor="page" w:x="542" w:y="4212"/>
        <w:spacing w:after="0"/>
        <w:jc w:val="center"/>
      </w:pPr>
      <w:r>
        <w:t>Property tax amount= (t</w:t>
      </w:r>
      <w:r>
        <w:t>ax rate) x (taxable value of your property)/! 00</w:t>
      </w:r>
    </w:p>
    <w:p w:rsidR="00525E5F" w:rsidRDefault="008842CD">
      <w:pPr>
        <w:pStyle w:val="BodyText"/>
        <w:framePr w:w="11236" w:h="1631" w:hRule="exact" w:wrap="none" w:vAnchor="page" w:hAnchor="page" w:x="542" w:y="11646"/>
        <w:tabs>
          <w:tab w:val="left" w:pos="2626"/>
        </w:tabs>
        <w:spacing w:after="0" w:line="233" w:lineRule="auto"/>
        <w:rPr>
          <w:sz w:val="24"/>
          <w:szCs w:val="24"/>
        </w:rPr>
      </w:pPr>
      <w:r>
        <w:rPr>
          <w:b/>
          <w:bCs/>
          <w:sz w:val="24"/>
          <w:szCs w:val="24"/>
        </w:rPr>
        <w:t>FOR the proposal:</w:t>
      </w:r>
      <w:r>
        <w:rPr>
          <w:b/>
          <w:bCs/>
          <w:sz w:val="24"/>
          <w:szCs w:val="24"/>
        </w:rPr>
        <w:tab/>
      </w:r>
      <w:r>
        <w:rPr>
          <w:sz w:val="24"/>
          <w:szCs w:val="24"/>
        </w:rPr>
        <w:t>HOWARD HEAD</w:t>
      </w:r>
    </w:p>
    <w:p w:rsidR="00525E5F" w:rsidRDefault="008842CD">
      <w:pPr>
        <w:pStyle w:val="BodyText"/>
        <w:framePr w:w="11236" w:h="1631" w:hRule="exact" w:wrap="none" w:vAnchor="page" w:hAnchor="page" w:x="542" w:y="11646"/>
        <w:spacing w:after="0" w:line="233" w:lineRule="auto"/>
        <w:ind w:left="2620"/>
        <w:rPr>
          <w:sz w:val="24"/>
          <w:szCs w:val="24"/>
        </w:rPr>
      </w:pPr>
      <w:r>
        <w:rPr>
          <w:sz w:val="24"/>
          <w:szCs w:val="24"/>
        </w:rPr>
        <w:t>BRIAN PIERCE</w:t>
      </w:r>
    </w:p>
    <w:p w:rsidR="00525E5F" w:rsidRDefault="008842CD">
      <w:pPr>
        <w:pStyle w:val="BodyText"/>
        <w:framePr w:w="11236" w:h="1631" w:hRule="exact" w:wrap="none" w:vAnchor="page" w:hAnchor="page" w:x="542" w:y="11646"/>
        <w:spacing w:after="0" w:line="233" w:lineRule="auto"/>
        <w:ind w:left="2620"/>
        <w:rPr>
          <w:sz w:val="24"/>
          <w:szCs w:val="24"/>
        </w:rPr>
      </w:pPr>
      <w:r>
        <w:rPr>
          <w:sz w:val="24"/>
          <w:szCs w:val="24"/>
        </w:rPr>
        <w:t>JOHN INMAN</w:t>
      </w:r>
    </w:p>
    <w:p w:rsidR="00525E5F" w:rsidRDefault="008842CD">
      <w:pPr>
        <w:pStyle w:val="BodyText"/>
        <w:framePr w:w="11236" w:h="1631" w:hRule="exact" w:wrap="none" w:vAnchor="page" w:hAnchor="page" w:x="542" w:y="11646"/>
        <w:spacing w:after="0" w:line="233" w:lineRule="auto"/>
        <w:rPr>
          <w:sz w:val="24"/>
          <w:szCs w:val="24"/>
        </w:rPr>
      </w:pPr>
      <w:r>
        <w:rPr>
          <w:b/>
          <w:bCs/>
          <w:sz w:val="24"/>
          <w:szCs w:val="24"/>
        </w:rPr>
        <w:t xml:space="preserve">AGAINST the proposal: </w:t>
      </w:r>
      <w:r>
        <w:rPr>
          <w:sz w:val="24"/>
          <w:szCs w:val="24"/>
        </w:rPr>
        <w:t>NONE</w:t>
      </w:r>
    </w:p>
    <w:p w:rsidR="00525E5F" w:rsidRDefault="008842CD">
      <w:pPr>
        <w:pStyle w:val="BodyText"/>
        <w:framePr w:w="11236" w:h="1631" w:hRule="exact" w:wrap="none" w:vAnchor="page" w:hAnchor="page" w:x="542" w:y="11646"/>
        <w:tabs>
          <w:tab w:val="left" w:pos="2626"/>
        </w:tabs>
        <w:spacing w:after="0" w:line="233" w:lineRule="auto"/>
        <w:rPr>
          <w:sz w:val="24"/>
          <w:szCs w:val="24"/>
        </w:rPr>
      </w:pPr>
      <w:r>
        <w:rPr>
          <w:b/>
          <w:bCs/>
          <w:sz w:val="24"/>
          <w:szCs w:val="24"/>
        </w:rPr>
        <w:t xml:space="preserve">PRESENT </w:t>
      </w:r>
      <w:r>
        <w:rPr>
          <w:sz w:val="24"/>
          <w:szCs w:val="24"/>
        </w:rPr>
        <w:t xml:space="preserve">and not </w:t>
      </w:r>
      <w:proofErr w:type="spellStart"/>
      <w:r>
        <w:rPr>
          <w:sz w:val="24"/>
          <w:szCs w:val="24"/>
        </w:rPr>
        <w:t>voting:NONE</w:t>
      </w:r>
      <w:proofErr w:type="spellEnd"/>
      <w:r>
        <w:rPr>
          <w:sz w:val="24"/>
          <w:szCs w:val="24"/>
        </w:rPr>
        <w:br/>
      </w:r>
      <w:r>
        <w:rPr>
          <w:b/>
          <w:bCs/>
          <w:sz w:val="24"/>
          <w:szCs w:val="24"/>
        </w:rPr>
        <w:t>ABSENT:</w:t>
      </w:r>
      <w:r>
        <w:rPr>
          <w:b/>
          <w:bCs/>
          <w:sz w:val="24"/>
          <w:szCs w:val="24"/>
        </w:rPr>
        <w:tab/>
      </w:r>
      <w:r>
        <w:rPr>
          <w:sz w:val="24"/>
          <w:szCs w:val="24"/>
        </w:rPr>
        <w:t>DEBBIE FAVOR</w:t>
      </w:r>
    </w:p>
    <w:p w:rsidR="00525E5F" w:rsidRDefault="008842CD">
      <w:pPr>
        <w:pStyle w:val="BodyText"/>
        <w:framePr w:w="2340" w:h="835" w:hRule="exact" w:wrap="none" w:vAnchor="page" w:hAnchor="page" w:x="6928" w:y="11642"/>
        <w:spacing w:after="0"/>
        <w:rPr>
          <w:sz w:val="24"/>
          <w:szCs w:val="24"/>
        </w:rPr>
      </w:pPr>
      <w:r>
        <w:rPr>
          <w:sz w:val="24"/>
          <w:szCs w:val="24"/>
        </w:rPr>
        <w:t>LARRY JOHNSON</w:t>
      </w:r>
      <w:r>
        <w:rPr>
          <w:sz w:val="24"/>
          <w:szCs w:val="24"/>
        </w:rPr>
        <w:br/>
        <w:t>REAGAN GARRISON</w:t>
      </w:r>
      <w:r>
        <w:rPr>
          <w:sz w:val="24"/>
          <w:szCs w:val="24"/>
        </w:rPr>
        <w:br/>
        <w:t>JAMES DRIVER</w:t>
      </w:r>
    </w:p>
    <w:p w:rsidR="00525E5F" w:rsidRDefault="008842CD">
      <w:pPr>
        <w:pStyle w:val="BodyText"/>
        <w:framePr w:w="11236" w:h="1523" w:hRule="exact" w:wrap="none" w:vAnchor="page" w:hAnchor="page" w:x="542" w:y="13799"/>
      </w:pPr>
      <w:r>
        <w:t>Visit Texas.gov/</w:t>
      </w:r>
      <w:proofErr w:type="spellStart"/>
      <w:r>
        <w:t>PropertyTaxes</w:t>
      </w:r>
      <w:proofErr w:type="spellEnd"/>
      <w:r>
        <w:t xml:space="preserve"> to find a link to your local property tax database on which you can easily access information regarding your property taxes, including information about proposed tax rates and scheduled public hearings of each entity that taxes your property.</w:t>
      </w:r>
    </w:p>
    <w:p w:rsidR="00525E5F" w:rsidRDefault="008842CD">
      <w:pPr>
        <w:pStyle w:val="BodyText"/>
        <w:framePr w:w="11236" w:h="1523" w:hRule="exact" w:wrap="none" w:vAnchor="page" w:hAnchor="page" w:x="542" w:y="13799"/>
        <w:spacing w:after="0"/>
      </w:pPr>
      <w:r>
        <w:t>The 86th Tex</w:t>
      </w:r>
      <w:r>
        <w:t>as Legislature modified the manner in which the voter-approval tax rate is calculated to limit</w:t>
      </w:r>
    </w:p>
    <w:p w:rsidR="00525E5F" w:rsidRDefault="00525E5F">
      <w:pPr>
        <w:spacing w:line="1" w:lineRule="exact"/>
        <w:sectPr w:rsidR="00525E5F">
          <w:pgSz w:w="12240" w:h="15840"/>
          <w:pgMar w:top="360" w:right="360" w:bottom="360" w:left="360" w:header="0" w:footer="3" w:gutter="0"/>
          <w:cols w:space="720"/>
          <w:noEndnote/>
          <w:docGrid w:linePitch="360"/>
        </w:sectPr>
      </w:pPr>
    </w:p>
    <w:p w:rsidR="00525E5F" w:rsidRDefault="00525E5F">
      <w:pPr>
        <w:spacing w:line="1" w:lineRule="exact"/>
      </w:pPr>
    </w:p>
    <w:p w:rsidR="00525E5F" w:rsidRDefault="008842CD">
      <w:pPr>
        <w:pStyle w:val="BodyText"/>
        <w:framePr w:wrap="none" w:vAnchor="page" w:hAnchor="page" w:x="616" w:y="410"/>
        <w:spacing w:after="0"/>
      </w:pPr>
      <w:r>
        <w:t>the rate of growth of property taxes in the state.</w:t>
      </w:r>
    </w:p>
    <w:p w:rsidR="00525E5F" w:rsidRDefault="008842CD">
      <w:pPr>
        <w:pStyle w:val="BodyText"/>
        <w:framePr w:w="11088" w:h="936" w:hRule="exact" w:wrap="none" w:vAnchor="page" w:hAnchor="page" w:x="616" w:y="1022"/>
        <w:spacing w:after="0"/>
      </w:pPr>
      <w:r>
        <w:t>The following table compares the taxes imposed on the average residence homestead by Childr</w:t>
      </w:r>
      <w:r>
        <w:t>ess Hospital District last year to the taxes proposed to be imposed on the average residence homestead by Childress Hospital District this year.</w:t>
      </w:r>
    </w:p>
    <w:tbl>
      <w:tblPr>
        <w:tblOverlap w:val="never"/>
        <w:tblW w:w="0" w:type="auto"/>
        <w:tblLayout w:type="fixed"/>
        <w:tblCellMar>
          <w:left w:w="10" w:type="dxa"/>
          <w:right w:w="10" w:type="dxa"/>
        </w:tblCellMar>
        <w:tblLook w:val="0000" w:firstRow="0" w:lastRow="0" w:firstColumn="0" w:lastColumn="0" w:noHBand="0" w:noVBand="0"/>
      </w:tblPr>
      <w:tblGrid>
        <w:gridCol w:w="2570"/>
        <w:gridCol w:w="2030"/>
        <w:gridCol w:w="3024"/>
        <w:gridCol w:w="2923"/>
      </w:tblGrid>
      <w:tr w:rsidR="00525E5F">
        <w:tblPrEx>
          <w:tblCellMar>
            <w:top w:w="0" w:type="dxa"/>
            <w:bottom w:w="0" w:type="dxa"/>
          </w:tblCellMar>
        </w:tblPrEx>
        <w:trPr>
          <w:trHeight w:hRule="exact" w:val="353"/>
        </w:trPr>
        <w:tc>
          <w:tcPr>
            <w:tcW w:w="2570" w:type="dxa"/>
            <w:shd w:val="clear" w:color="auto" w:fill="FFFFFF"/>
          </w:tcPr>
          <w:p w:rsidR="00525E5F" w:rsidRDefault="00525E5F">
            <w:pPr>
              <w:framePr w:w="10548" w:h="2916" w:wrap="none" w:vAnchor="page" w:hAnchor="page" w:x="630" w:y="2232"/>
              <w:rPr>
                <w:sz w:val="10"/>
                <w:szCs w:val="10"/>
              </w:rPr>
            </w:pPr>
          </w:p>
        </w:tc>
        <w:tc>
          <w:tcPr>
            <w:tcW w:w="2030" w:type="dxa"/>
            <w:shd w:val="clear" w:color="auto" w:fill="FFFFFF"/>
            <w:vAlign w:val="bottom"/>
          </w:tcPr>
          <w:p w:rsidR="00525E5F" w:rsidRDefault="008842CD">
            <w:pPr>
              <w:pStyle w:val="Other0"/>
              <w:framePr w:w="10548" w:h="2916" w:wrap="none" w:vAnchor="page" w:hAnchor="page" w:x="630" w:y="2232"/>
              <w:spacing w:after="0"/>
              <w:ind w:firstLine="980"/>
              <w:rPr>
                <w:sz w:val="24"/>
                <w:szCs w:val="24"/>
              </w:rPr>
            </w:pPr>
            <w:r>
              <w:rPr>
                <w:sz w:val="24"/>
                <w:szCs w:val="24"/>
              </w:rPr>
              <w:t>2024</w:t>
            </w:r>
          </w:p>
        </w:tc>
        <w:tc>
          <w:tcPr>
            <w:tcW w:w="3024" w:type="dxa"/>
            <w:shd w:val="clear" w:color="auto" w:fill="FFFFFF"/>
            <w:vAlign w:val="bottom"/>
          </w:tcPr>
          <w:p w:rsidR="00525E5F" w:rsidRDefault="008842CD">
            <w:pPr>
              <w:pStyle w:val="Other0"/>
              <w:framePr w:w="10548" w:h="2916" w:wrap="none" w:vAnchor="page" w:hAnchor="page" w:x="630" w:y="2232"/>
              <w:spacing w:after="0"/>
              <w:jc w:val="center"/>
              <w:rPr>
                <w:sz w:val="24"/>
                <w:szCs w:val="24"/>
              </w:rPr>
            </w:pPr>
            <w:r>
              <w:rPr>
                <w:sz w:val="24"/>
                <w:szCs w:val="24"/>
              </w:rPr>
              <w:t>2025</w:t>
            </w:r>
          </w:p>
        </w:tc>
        <w:tc>
          <w:tcPr>
            <w:tcW w:w="2923" w:type="dxa"/>
            <w:shd w:val="clear" w:color="auto" w:fill="FFFFFF"/>
            <w:vAlign w:val="bottom"/>
          </w:tcPr>
          <w:p w:rsidR="00525E5F" w:rsidRDefault="008842CD">
            <w:pPr>
              <w:pStyle w:val="Other0"/>
              <w:framePr w:w="10548" w:h="2916" w:wrap="none" w:vAnchor="page" w:hAnchor="page" w:x="630" w:y="2232"/>
              <w:spacing w:after="0"/>
              <w:jc w:val="center"/>
              <w:rPr>
                <w:sz w:val="24"/>
                <w:szCs w:val="24"/>
              </w:rPr>
            </w:pPr>
            <w:r>
              <w:rPr>
                <w:sz w:val="24"/>
                <w:szCs w:val="24"/>
              </w:rPr>
              <w:t>Change</w:t>
            </w:r>
          </w:p>
        </w:tc>
      </w:tr>
      <w:tr w:rsidR="00525E5F">
        <w:tblPrEx>
          <w:tblCellMar>
            <w:top w:w="0" w:type="dxa"/>
            <w:bottom w:w="0" w:type="dxa"/>
          </w:tblCellMar>
        </w:tblPrEx>
        <w:trPr>
          <w:trHeight w:hRule="exact" w:val="634"/>
        </w:trPr>
        <w:tc>
          <w:tcPr>
            <w:tcW w:w="2570" w:type="dxa"/>
            <w:shd w:val="clear" w:color="auto" w:fill="FFFFFF"/>
            <w:vAlign w:val="bottom"/>
          </w:tcPr>
          <w:p w:rsidR="00525E5F" w:rsidRDefault="008842CD">
            <w:pPr>
              <w:pStyle w:val="Other0"/>
              <w:framePr w:w="10548" w:h="2916" w:wrap="none" w:vAnchor="page" w:hAnchor="page" w:x="630" w:y="2232"/>
              <w:spacing w:after="0" w:line="264" w:lineRule="auto"/>
              <w:rPr>
                <w:sz w:val="24"/>
                <w:szCs w:val="24"/>
              </w:rPr>
            </w:pPr>
            <w:r>
              <w:rPr>
                <w:sz w:val="24"/>
                <w:szCs w:val="24"/>
              </w:rPr>
              <w:t>Total tax rate (per $100 of value)</w:t>
            </w:r>
          </w:p>
        </w:tc>
        <w:tc>
          <w:tcPr>
            <w:tcW w:w="2030" w:type="dxa"/>
            <w:shd w:val="clear" w:color="auto" w:fill="FFFFFF"/>
          </w:tcPr>
          <w:p w:rsidR="00525E5F" w:rsidRDefault="008842CD">
            <w:pPr>
              <w:pStyle w:val="Other0"/>
              <w:framePr w:w="10548" w:h="2916" w:wrap="none" w:vAnchor="page" w:hAnchor="page" w:x="630" w:y="2232"/>
              <w:spacing w:after="0"/>
            </w:pPr>
            <w:r>
              <w:t>$0.220000</w:t>
            </w:r>
          </w:p>
        </w:tc>
        <w:tc>
          <w:tcPr>
            <w:tcW w:w="3024" w:type="dxa"/>
            <w:shd w:val="clear" w:color="auto" w:fill="FFFFFF"/>
          </w:tcPr>
          <w:p w:rsidR="00525E5F" w:rsidRDefault="008842CD">
            <w:pPr>
              <w:pStyle w:val="Other0"/>
              <w:framePr w:w="10548" w:h="2916" w:wrap="none" w:vAnchor="page" w:hAnchor="page" w:x="630" w:y="2232"/>
              <w:spacing w:after="0"/>
              <w:ind w:firstLine="480"/>
            </w:pPr>
            <w:r>
              <w:t>$0.220000</w:t>
            </w:r>
          </w:p>
        </w:tc>
        <w:tc>
          <w:tcPr>
            <w:tcW w:w="2923" w:type="dxa"/>
            <w:shd w:val="clear" w:color="auto" w:fill="FFFFFF"/>
            <w:vAlign w:val="bottom"/>
          </w:tcPr>
          <w:p w:rsidR="00525E5F" w:rsidRDefault="008842CD">
            <w:pPr>
              <w:pStyle w:val="Other0"/>
              <w:framePr w:w="10548" w:h="2916" w:wrap="none" w:vAnchor="page" w:hAnchor="page" w:x="630" w:y="2232"/>
              <w:spacing w:after="0"/>
            </w:pPr>
            <w:r>
              <w:t xml:space="preserve">increase of 0.000000 per $100, or </w:t>
            </w:r>
            <w:r>
              <w:t>0.00%</w:t>
            </w:r>
          </w:p>
        </w:tc>
      </w:tr>
      <w:tr w:rsidR="00525E5F">
        <w:tblPrEx>
          <w:tblCellMar>
            <w:top w:w="0" w:type="dxa"/>
            <w:bottom w:w="0" w:type="dxa"/>
          </w:tblCellMar>
        </w:tblPrEx>
        <w:trPr>
          <w:trHeight w:hRule="exact" w:val="634"/>
        </w:trPr>
        <w:tc>
          <w:tcPr>
            <w:tcW w:w="2570" w:type="dxa"/>
            <w:shd w:val="clear" w:color="auto" w:fill="FFFFFF"/>
          </w:tcPr>
          <w:p w:rsidR="00525E5F" w:rsidRDefault="008842CD">
            <w:pPr>
              <w:pStyle w:val="Other0"/>
              <w:framePr w:w="10548" w:h="2916" w:wrap="none" w:vAnchor="page" w:hAnchor="page" w:x="630" w:y="2232"/>
              <w:spacing w:after="0" w:line="264" w:lineRule="auto"/>
              <w:rPr>
                <w:sz w:val="24"/>
                <w:szCs w:val="24"/>
              </w:rPr>
            </w:pPr>
            <w:r>
              <w:rPr>
                <w:sz w:val="24"/>
                <w:szCs w:val="24"/>
              </w:rPr>
              <w:t>Average homestead taxable value</w:t>
            </w:r>
          </w:p>
        </w:tc>
        <w:tc>
          <w:tcPr>
            <w:tcW w:w="2030" w:type="dxa"/>
            <w:shd w:val="clear" w:color="auto" w:fill="FFFFFF"/>
          </w:tcPr>
          <w:p w:rsidR="00525E5F" w:rsidRDefault="008842CD">
            <w:pPr>
              <w:pStyle w:val="Other0"/>
              <w:framePr w:w="10548" w:h="2916" w:wrap="none" w:vAnchor="page" w:hAnchor="page" w:x="630" w:y="2232"/>
              <w:spacing w:after="0"/>
            </w:pPr>
            <w:r>
              <w:t>$75,934</w:t>
            </w:r>
          </w:p>
        </w:tc>
        <w:tc>
          <w:tcPr>
            <w:tcW w:w="3024" w:type="dxa"/>
            <w:shd w:val="clear" w:color="auto" w:fill="FFFFFF"/>
          </w:tcPr>
          <w:p w:rsidR="00525E5F" w:rsidRDefault="008842CD">
            <w:pPr>
              <w:pStyle w:val="Other0"/>
              <w:framePr w:w="10548" w:h="2916" w:wrap="none" w:vAnchor="page" w:hAnchor="page" w:x="630" w:y="2232"/>
              <w:spacing w:after="0"/>
              <w:ind w:firstLine="480"/>
            </w:pPr>
            <w:r>
              <w:t>$109,150</w:t>
            </w:r>
          </w:p>
        </w:tc>
        <w:tc>
          <w:tcPr>
            <w:tcW w:w="2923" w:type="dxa"/>
            <w:shd w:val="clear" w:color="auto" w:fill="FFFFFF"/>
          </w:tcPr>
          <w:p w:rsidR="00525E5F" w:rsidRDefault="008842CD">
            <w:pPr>
              <w:pStyle w:val="Other0"/>
              <w:framePr w:w="10548" w:h="2916" w:wrap="none" w:vAnchor="page" w:hAnchor="page" w:x="630" w:y="2232"/>
              <w:spacing w:after="0"/>
            </w:pPr>
            <w:r>
              <w:t>increase of 43.74%</w:t>
            </w:r>
          </w:p>
        </w:tc>
      </w:tr>
      <w:tr w:rsidR="00525E5F">
        <w:tblPrEx>
          <w:tblCellMar>
            <w:top w:w="0" w:type="dxa"/>
            <w:bottom w:w="0" w:type="dxa"/>
          </w:tblCellMar>
        </w:tblPrEx>
        <w:trPr>
          <w:trHeight w:hRule="exact" w:val="634"/>
        </w:trPr>
        <w:tc>
          <w:tcPr>
            <w:tcW w:w="2570" w:type="dxa"/>
            <w:shd w:val="clear" w:color="auto" w:fill="FFFFFF"/>
          </w:tcPr>
          <w:p w:rsidR="00525E5F" w:rsidRDefault="008842CD">
            <w:pPr>
              <w:pStyle w:val="Other0"/>
              <w:framePr w:w="10548" w:h="2916" w:wrap="none" w:vAnchor="page" w:hAnchor="page" w:x="630" w:y="2232"/>
              <w:spacing w:after="0" w:line="264" w:lineRule="auto"/>
              <w:rPr>
                <w:sz w:val="24"/>
                <w:szCs w:val="24"/>
              </w:rPr>
            </w:pPr>
            <w:r>
              <w:rPr>
                <w:sz w:val="24"/>
                <w:szCs w:val="24"/>
              </w:rPr>
              <w:t>Tax on average homestead</w:t>
            </w:r>
          </w:p>
        </w:tc>
        <w:tc>
          <w:tcPr>
            <w:tcW w:w="2030" w:type="dxa"/>
            <w:shd w:val="clear" w:color="auto" w:fill="FFFFFF"/>
          </w:tcPr>
          <w:p w:rsidR="00525E5F" w:rsidRDefault="008842CD">
            <w:pPr>
              <w:pStyle w:val="Other0"/>
              <w:framePr w:w="10548" w:h="2916" w:wrap="none" w:vAnchor="page" w:hAnchor="page" w:x="630" w:y="2232"/>
              <w:spacing w:after="0"/>
            </w:pPr>
            <w:r>
              <w:t>$167.05</w:t>
            </w:r>
          </w:p>
        </w:tc>
        <w:tc>
          <w:tcPr>
            <w:tcW w:w="3024" w:type="dxa"/>
            <w:shd w:val="clear" w:color="auto" w:fill="FFFFFF"/>
          </w:tcPr>
          <w:p w:rsidR="00525E5F" w:rsidRDefault="008842CD">
            <w:pPr>
              <w:pStyle w:val="Other0"/>
              <w:framePr w:w="10548" w:h="2916" w:wrap="none" w:vAnchor="page" w:hAnchor="page" w:x="630" w:y="2232"/>
              <w:spacing w:after="0"/>
              <w:ind w:firstLine="480"/>
            </w:pPr>
            <w:r>
              <w:t>$240.13</w:t>
            </w:r>
          </w:p>
        </w:tc>
        <w:tc>
          <w:tcPr>
            <w:tcW w:w="2923" w:type="dxa"/>
            <w:shd w:val="clear" w:color="auto" w:fill="FFFFFF"/>
          </w:tcPr>
          <w:p w:rsidR="00525E5F" w:rsidRDefault="008842CD">
            <w:pPr>
              <w:pStyle w:val="Other0"/>
              <w:framePr w:w="10548" w:h="2916" w:wrap="none" w:vAnchor="page" w:hAnchor="page" w:x="630" w:y="2232"/>
              <w:spacing w:after="0"/>
            </w:pPr>
            <w:r>
              <w:t>increase of 73.08, or 43.75%</w:t>
            </w:r>
          </w:p>
        </w:tc>
      </w:tr>
      <w:tr w:rsidR="00525E5F">
        <w:tblPrEx>
          <w:tblCellMar>
            <w:top w:w="0" w:type="dxa"/>
            <w:bottom w:w="0" w:type="dxa"/>
          </w:tblCellMar>
        </w:tblPrEx>
        <w:trPr>
          <w:trHeight w:hRule="exact" w:val="662"/>
        </w:trPr>
        <w:tc>
          <w:tcPr>
            <w:tcW w:w="2570" w:type="dxa"/>
            <w:shd w:val="clear" w:color="auto" w:fill="FFFFFF"/>
          </w:tcPr>
          <w:p w:rsidR="00525E5F" w:rsidRDefault="008842CD">
            <w:pPr>
              <w:pStyle w:val="Other0"/>
              <w:framePr w:w="10548" w:h="2916" w:wrap="none" w:vAnchor="page" w:hAnchor="page" w:x="630" w:y="2232"/>
              <w:spacing w:after="0" w:line="264" w:lineRule="auto"/>
              <w:rPr>
                <w:sz w:val="24"/>
                <w:szCs w:val="24"/>
              </w:rPr>
            </w:pPr>
            <w:r>
              <w:rPr>
                <w:sz w:val="24"/>
                <w:szCs w:val="24"/>
              </w:rPr>
              <w:t>Total tax levy on all properties</w:t>
            </w:r>
          </w:p>
        </w:tc>
        <w:tc>
          <w:tcPr>
            <w:tcW w:w="2030" w:type="dxa"/>
            <w:shd w:val="clear" w:color="auto" w:fill="FFFFFF"/>
          </w:tcPr>
          <w:p w:rsidR="00525E5F" w:rsidRDefault="008842CD">
            <w:pPr>
              <w:pStyle w:val="Other0"/>
              <w:framePr w:w="10548" w:h="2916" w:wrap="none" w:vAnchor="page" w:hAnchor="page" w:x="630" w:y="2232"/>
              <w:spacing w:after="0"/>
            </w:pPr>
            <w:r>
              <w:t>$1,397,846</w:t>
            </w:r>
          </w:p>
        </w:tc>
        <w:tc>
          <w:tcPr>
            <w:tcW w:w="3024" w:type="dxa"/>
            <w:shd w:val="clear" w:color="auto" w:fill="FFFFFF"/>
          </w:tcPr>
          <w:p w:rsidR="00525E5F" w:rsidRDefault="008842CD">
            <w:pPr>
              <w:pStyle w:val="Other0"/>
              <w:framePr w:w="10548" w:h="2916" w:wrap="none" w:vAnchor="page" w:hAnchor="page" w:x="630" w:y="2232"/>
              <w:spacing w:after="0"/>
              <w:ind w:firstLine="480"/>
            </w:pPr>
            <w:r>
              <w:t>$2,512,412</w:t>
            </w:r>
          </w:p>
        </w:tc>
        <w:tc>
          <w:tcPr>
            <w:tcW w:w="2923" w:type="dxa"/>
            <w:shd w:val="clear" w:color="auto" w:fill="FFFFFF"/>
          </w:tcPr>
          <w:p w:rsidR="00525E5F" w:rsidRDefault="008842CD">
            <w:pPr>
              <w:pStyle w:val="Other0"/>
              <w:framePr w:w="10548" w:h="2916" w:wrap="none" w:vAnchor="page" w:hAnchor="page" w:x="630" w:y="2232"/>
              <w:spacing w:after="0"/>
            </w:pPr>
            <w:r>
              <w:t>increase of 1,114,566, or 79.73%</w:t>
            </w:r>
          </w:p>
        </w:tc>
      </w:tr>
    </w:tbl>
    <w:p w:rsidR="00525E5F" w:rsidRDefault="008842CD">
      <w:pPr>
        <w:pStyle w:val="Tablecaption0"/>
        <w:framePr w:w="11088" w:h="281" w:hRule="exact" w:wrap="none" w:vAnchor="page" w:hAnchor="page" w:x="616" w:y="5731"/>
      </w:pPr>
      <w:r>
        <w:t xml:space="preserve">No-New-Revenue </w:t>
      </w:r>
      <w:r>
        <w:t>Maintenance and Operations Rate Ad</w:t>
      </w:r>
      <w:r>
        <w:rPr>
          <w:u w:val="none"/>
        </w:rPr>
        <w:t>j</w:t>
      </w:r>
      <w:r>
        <w:t>ustments</w:t>
      </w:r>
    </w:p>
    <w:p w:rsidR="00525E5F" w:rsidRDefault="008842CD">
      <w:pPr>
        <w:pStyle w:val="BodyText"/>
        <w:framePr w:w="11088" w:h="2844" w:hRule="exact" w:wrap="none" w:vAnchor="page" w:hAnchor="page" w:x="616" w:y="6372"/>
        <w:spacing w:after="0" w:line="262" w:lineRule="auto"/>
        <w:rPr>
          <w:sz w:val="24"/>
          <w:szCs w:val="24"/>
        </w:rPr>
      </w:pPr>
      <w:r>
        <w:rPr>
          <w:sz w:val="24"/>
          <w:szCs w:val="24"/>
        </w:rPr>
        <w:t>Indigent Health Care Compensation Expenditures</w:t>
      </w:r>
    </w:p>
    <w:p w:rsidR="00525E5F" w:rsidRDefault="008842CD">
      <w:pPr>
        <w:pStyle w:val="BodyText"/>
        <w:framePr w:w="11088" w:h="2844" w:hRule="exact" w:wrap="none" w:vAnchor="page" w:hAnchor="page" w:x="616" w:y="6372"/>
        <w:spacing w:after="460"/>
      </w:pPr>
      <w:r>
        <w:t>The Childress Hospital District spent $4,186,105 from July 1, 2024 to June 30, 2025 on indigent health care compensation expenditures at the increased minimum eligib</w:t>
      </w:r>
      <w:r>
        <w:t>ility standards, less the amount of state assistance. For the current tax year, the amount of increase above last year's enhanced indigent health care expenditures is $160,245. This increased the no-new-revenue maintenance and operations rate by $0.015907/</w:t>
      </w:r>
      <w:r>
        <w:t>$ 100.</w:t>
      </w:r>
    </w:p>
    <w:p w:rsidR="00525E5F" w:rsidRDefault="008842CD">
      <w:pPr>
        <w:pStyle w:val="BodyText"/>
        <w:framePr w:w="11088" w:h="2844" w:hRule="exact" w:wrap="none" w:vAnchor="page" w:hAnchor="page" w:x="616" w:y="6372"/>
        <w:pBdr>
          <w:top w:val="single" w:sz="4" w:space="0" w:color="auto"/>
        </w:pBdr>
        <w:spacing w:after="0"/>
      </w:pPr>
      <w:r>
        <w:t xml:space="preserve">For assistance with tax calculations, please contact the tax assessor for Childress Hospital District at 940- 937-6371 or </w:t>
      </w:r>
      <w:hyperlink r:id="rId6" w:history="1">
        <w:r>
          <w:t>estratton@childresshospital.com</w:t>
        </w:r>
      </w:hyperlink>
      <w:r>
        <w:t xml:space="preserve">, or visit </w:t>
      </w:r>
      <w:hyperlink r:id="rId7" w:history="1">
        <w:r>
          <w:t>www.childresscad.org</w:t>
        </w:r>
      </w:hyperlink>
      <w:r>
        <w:t xml:space="preserve"> for more information.</w:t>
      </w:r>
    </w:p>
    <w:p w:rsidR="00525E5F" w:rsidRDefault="00525E5F">
      <w:pPr>
        <w:spacing w:line="1" w:lineRule="exact"/>
      </w:pPr>
    </w:p>
    <w:sectPr w:rsidR="00525E5F">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2CD" w:rsidRDefault="008842CD">
      <w:r>
        <w:separator/>
      </w:r>
    </w:p>
  </w:endnote>
  <w:endnote w:type="continuationSeparator" w:id="0">
    <w:p w:rsidR="008842CD" w:rsidRDefault="0088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2CD" w:rsidRDefault="008842CD"/>
  </w:footnote>
  <w:footnote w:type="continuationSeparator" w:id="0">
    <w:p w:rsidR="008842CD" w:rsidRDefault="008842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5F"/>
    <w:rsid w:val="00525E5F"/>
    <w:rsid w:val="008842CD"/>
    <w:rsid w:val="00A3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BC925-1163-4E28-9E7F-8D66D44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single"/>
      <w:shd w:val="clear" w:color="auto" w:fill="auto"/>
    </w:rPr>
  </w:style>
  <w:style w:type="paragraph" w:customStyle="1" w:styleId="Heading10">
    <w:name w:val="Heading #1"/>
    <w:basedOn w:val="Normal"/>
    <w:link w:val="Heading1"/>
    <w:pPr>
      <w:spacing w:after="620"/>
      <w:jc w:val="center"/>
      <w:outlineLvl w:val="0"/>
    </w:pPr>
    <w:rPr>
      <w:rFonts w:ascii="Times New Roman" w:eastAsia="Times New Roman" w:hAnsi="Times New Roman" w:cs="Times New Roman"/>
      <w:b/>
      <w:bCs/>
      <w:sz w:val="36"/>
      <w:szCs w:val="36"/>
    </w:rPr>
  </w:style>
  <w:style w:type="paragraph" w:styleId="BodyText">
    <w:name w:val="Body Text"/>
    <w:basedOn w:val="Normal"/>
    <w:link w:val="BodyTextChar"/>
    <w:qFormat/>
    <w:pPr>
      <w:spacing w:after="280"/>
    </w:pPr>
    <w:rPr>
      <w:rFonts w:ascii="Times New Roman" w:eastAsia="Times New Roman" w:hAnsi="Times New Roman" w:cs="Times New Roman"/>
      <w:sz w:val="26"/>
      <w:szCs w:val="26"/>
    </w:rPr>
  </w:style>
  <w:style w:type="paragraph" w:customStyle="1" w:styleId="Other0">
    <w:name w:val="Other"/>
    <w:basedOn w:val="Normal"/>
    <w:link w:val="Other"/>
    <w:pPr>
      <w:spacing w:after="28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ldressca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tratton@childresshospita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Workstation3</dc:creator>
  <cp:lastModifiedBy>Workstation3</cp:lastModifiedBy>
  <cp:revision>2</cp:revision>
  <dcterms:created xsi:type="dcterms:W3CDTF">2025-08-28T18:00:00Z</dcterms:created>
  <dcterms:modified xsi:type="dcterms:W3CDTF">2025-08-28T18:00:00Z</dcterms:modified>
</cp:coreProperties>
</file>